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56" w:rsidRDefault="000A4D91" w:rsidP="000A4D91">
      <w:pPr>
        <w:keepNext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Retirement</w:t>
      </w:r>
    </w:p>
    <w:p w:rsidR="000A4D91" w:rsidRDefault="000A4D91" w:rsidP="000A4D91">
      <w:pPr>
        <w:keepNext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See full summary documents for additional detail</w:t>
      </w:r>
    </w:p>
    <w:p w:rsidR="000A4D91" w:rsidRDefault="000A4D91" w:rsidP="000A4D91">
      <w:pPr>
        <w:keepNext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H103 - 2022 Appropriations Act.</w:t>
      </w:r>
      <w:r>
        <w:rPr>
          <w:rFonts w:ascii="Times New Roman" w:hAnsi="Times New Roman" w:cs="Times New Roman"/>
          <w:b/>
          <w:sz w:val="24"/>
        </w:rPr>
        <w:br/>
        <w:t xml:space="preserve">Sec. 39.20: Increase One-Time COLA Supplement for </w:t>
      </w:r>
      <w:proofErr w:type="spellStart"/>
      <w:r>
        <w:rPr>
          <w:rFonts w:ascii="Times New Roman" w:hAnsi="Times New Roman" w:cs="Times New Roman"/>
          <w:b/>
          <w:sz w:val="24"/>
        </w:rPr>
        <w:t>TSERS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CJRS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LRS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Retirees. (SL 2022-74)</w:t>
      </w:r>
    </w:p>
    <w:p w:rsidR="000A4D91" w:rsidRPr="000A4D91" w:rsidRDefault="000A4D91" w:rsidP="000A4D91">
      <w:pPr>
        <w:pStyle w:val="NormalWeb"/>
        <w:jc w:val="both"/>
        <w:divId w:val="161047160"/>
        <w:rPr>
          <w:sz w:val="22"/>
        </w:rPr>
      </w:pPr>
      <w:r w:rsidRPr="000A4D91">
        <w:rPr>
          <w:sz w:val="22"/>
        </w:rPr>
        <w:t>Section 39.20 of S.L. 2022-74 amends Section 39.23 of S.L. 2021-180 to increase from 3% to 4% the one-time cost-of-living supplement for retirees of the Teachers and State Employees Retirement (</w:t>
      </w:r>
      <w:proofErr w:type="spellStart"/>
      <w:r w:rsidRPr="000A4D91">
        <w:rPr>
          <w:sz w:val="22"/>
        </w:rPr>
        <w:t>TSERS</w:t>
      </w:r>
      <w:proofErr w:type="spellEnd"/>
      <w:r w:rsidRPr="000A4D91">
        <w:rPr>
          <w:sz w:val="22"/>
        </w:rPr>
        <w:t>), the Consolidated Judicial Retirement System (</w:t>
      </w:r>
      <w:proofErr w:type="spellStart"/>
      <w:r w:rsidRPr="000A4D91">
        <w:rPr>
          <w:sz w:val="22"/>
        </w:rPr>
        <w:t>CJRS</w:t>
      </w:r>
      <w:proofErr w:type="spellEnd"/>
      <w:r w:rsidRPr="000A4D91">
        <w:rPr>
          <w:sz w:val="22"/>
        </w:rPr>
        <w:t>) and the Legislative Retirement System (</w:t>
      </w:r>
      <w:proofErr w:type="spellStart"/>
      <w:r w:rsidRPr="000A4D91">
        <w:rPr>
          <w:sz w:val="22"/>
        </w:rPr>
        <w:t>LRS</w:t>
      </w:r>
      <w:proofErr w:type="spellEnd"/>
      <w:r w:rsidRPr="000A4D91">
        <w:rPr>
          <w:sz w:val="22"/>
        </w:rPr>
        <w:t xml:space="preserve">). The section provides that after September 1, 2022, but on or before October 31, 2022, the one-time 4% cost-of-living supplement payment </w:t>
      </w:r>
      <w:proofErr w:type="gramStart"/>
      <w:r w:rsidRPr="000A4D91">
        <w:rPr>
          <w:sz w:val="22"/>
        </w:rPr>
        <w:t>must be made</w:t>
      </w:r>
      <w:proofErr w:type="gramEnd"/>
      <w:r w:rsidRPr="000A4D91">
        <w:rPr>
          <w:sz w:val="22"/>
        </w:rPr>
        <w:t xml:space="preserve"> to beneficiaries who are living as of September 1, 2022, and whose retirement commenced on or before September 1, 2022.</w:t>
      </w:r>
    </w:p>
    <w:p w:rsidR="000A4D91" w:rsidRPr="000A4D91" w:rsidRDefault="000A4D91" w:rsidP="000A4D91">
      <w:pPr>
        <w:pStyle w:val="NormalWeb"/>
        <w:jc w:val="both"/>
        <w:divId w:val="161047160"/>
        <w:rPr>
          <w:sz w:val="22"/>
        </w:rPr>
      </w:pPr>
      <w:r w:rsidRPr="000A4D91">
        <w:rPr>
          <w:sz w:val="22"/>
        </w:rPr>
        <w:t xml:space="preserve">This section became law July 1, 2022. </w:t>
      </w:r>
    </w:p>
    <w:p w:rsidR="000A4D91" w:rsidRPr="000A4D91" w:rsidRDefault="000A4D91" w:rsidP="000A4D91">
      <w:pPr>
        <w:keepNext/>
        <w:jc w:val="both"/>
        <w:rPr>
          <w:rFonts w:ascii="Times New Roman" w:hAnsi="Times New Roman" w:cs="Times New Roman"/>
        </w:rPr>
      </w:pPr>
    </w:p>
    <w:p w:rsidR="000A4D91" w:rsidRDefault="000A4D91" w:rsidP="000A4D91">
      <w:pPr>
        <w:keepNext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H177 - Extend Spiking Moratorium/</w:t>
      </w:r>
      <w:proofErr w:type="spellStart"/>
      <w:r>
        <w:rPr>
          <w:rFonts w:ascii="Times New Roman" w:hAnsi="Times New Roman" w:cs="Times New Roman"/>
          <w:b/>
          <w:sz w:val="24"/>
        </w:rPr>
        <w:t>LGERS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Surety. (SL 2022-70)</w:t>
      </w:r>
    </w:p>
    <w:p w:rsidR="000A4D91" w:rsidRPr="000A4D91" w:rsidRDefault="000A4D91" w:rsidP="000A4D91">
      <w:pPr>
        <w:pStyle w:val="NormalWeb"/>
        <w:jc w:val="both"/>
        <w:divId w:val="670640709"/>
        <w:rPr>
          <w:sz w:val="22"/>
        </w:rPr>
      </w:pPr>
      <w:r w:rsidRPr="000A4D91">
        <w:rPr>
          <w:sz w:val="22"/>
        </w:rPr>
        <w:t>S.L. 2022-70 extends the pension-spiking moratorium enacted in S.L. 2021-72 from June 30, 2022, to June 30, 2023, and requires the Local Governmental Employees' Retirement System's (</w:t>
      </w:r>
      <w:proofErr w:type="spellStart"/>
      <w:r w:rsidRPr="000A4D91">
        <w:rPr>
          <w:sz w:val="22"/>
        </w:rPr>
        <w:t>LGERS</w:t>
      </w:r>
      <w:proofErr w:type="spellEnd"/>
      <w:r w:rsidRPr="000A4D91">
        <w:rPr>
          <w:sz w:val="22"/>
        </w:rPr>
        <w:t>) Board of Trustees to adopt rules for eligible employers that do not have taxing authority in order to cover a withdrawal liability should they cease participation in the Retirement System.</w:t>
      </w:r>
    </w:p>
    <w:p w:rsidR="000A4D91" w:rsidRPr="000A4D91" w:rsidRDefault="000A4D91" w:rsidP="000A4D91">
      <w:pPr>
        <w:pStyle w:val="NormalWeb"/>
        <w:jc w:val="both"/>
        <w:divId w:val="670640709"/>
        <w:rPr>
          <w:sz w:val="22"/>
        </w:rPr>
      </w:pPr>
      <w:r w:rsidRPr="000A4D91">
        <w:rPr>
          <w:sz w:val="22"/>
        </w:rPr>
        <w:t xml:space="preserve">This act became effective June 30, 2022. </w:t>
      </w:r>
    </w:p>
    <w:p w:rsidR="000A4D91" w:rsidRPr="000A4D91" w:rsidRDefault="000A4D91" w:rsidP="000A4D91">
      <w:pPr>
        <w:keepNext/>
        <w:jc w:val="both"/>
        <w:rPr>
          <w:rFonts w:ascii="Times New Roman" w:hAnsi="Times New Roman" w:cs="Times New Roman"/>
        </w:rPr>
      </w:pPr>
    </w:p>
    <w:p w:rsidR="000A4D91" w:rsidRDefault="000A4D91" w:rsidP="000A4D91">
      <w:pPr>
        <w:keepNext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H1056 - Ret. &amp; Treasury Admin. Changes Act of 2022. (SL 2022-14)</w:t>
      </w:r>
    </w:p>
    <w:p w:rsidR="000A4D91" w:rsidRPr="000A4D91" w:rsidRDefault="000A4D91" w:rsidP="000A4D91">
      <w:pPr>
        <w:pStyle w:val="NormalWeb"/>
        <w:jc w:val="both"/>
        <w:divId w:val="1498034500"/>
        <w:rPr>
          <w:sz w:val="22"/>
        </w:rPr>
      </w:pPr>
      <w:proofErr w:type="gramStart"/>
      <w:r w:rsidRPr="000A4D91">
        <w:rPr>
          <w:sz w:val="22"/>
        </w:rPr>
        <w:t>S.L. 2022-14 allows a limited exception to the irrevocable election to transfer funds from supplemental plans to the Teachers' and State Employees' Retirement System (</w:t>
      </w:r>
      <w:proofErr w:type="spellStart"/>
      <w:r w:rsidRPr="000A4D91">
        <w:rPr>
          <w:sz w:val="22"/>
        </w:rPr>
        <w:t>TSERS</w:t>
      </w:r>
      <w:proofErr w:type="spellEnd"/>
      <w:r w:rsidRPr="000A4D91">
        <w:rPr>
          <w:sz w:val="22"/>
        </w:rPr>
        <w:t>) and the Local Governmental Employees' Retirement System (</w:t>
      </w:r>
      <w:proofErr w:type="spellStart"/>
      <w:r w:rsidRPr="000A4D91">
        <w:rPr>
          <w:sz w:val="22"/>
        </w:rPr>
        <w:t>LGERS</w:t>
      </w:r>
      <w:proofErr w:type="spellEnd"/>
      <w:r w:rsidRPr="000A4D91">
        <w:rPr>
          <w:sz w:val="22"/>
        </w:rPr>
        <w:t xml:space="preserve">); makes changes related to the reporting of inactive employees in the </w:t>
      </w:r>
      <w:proofErr w:type="spellStart"/>
      <w:r w:rsidRPr="000A4D91">
        <w:rPr>
          <w:sz w:val="22"/>
        </w:rPr>
        <w:t>TSERS</w:t>
      </w:r>
      <w:proofErr w:type="spellEnd"/>
      <w:r w:rsidRPr="000A4D91">
        <w:rPr>
          <w:sz w:val="22"/>
        </w:rPr>
        <w:t xml:space="preserve"> and </w:t>
      </w:r>
      <w:proofErr w:type="spellStart"/>
      <w:r w:rsidRPr="000A4D91">
        <w:rPr>
          <w:sz w:val="22"/>
        </w:rPr>
        <w:t>LGERS</w:t>
      </w:r>
      <w:proofErr w:type="spellEnd"/>
      <w:r w:rsidRPr="000A4D91">
        <w:rPr>
          <w:sz w:val="22"/>
        </w:rPr>
        <w:t>; establishes a default option for employing units that fail to select an option for the transfer of assets when a 403(b) plan is discontinued; clarifies the non-assignability of line of duty death benefits for public safety employees; clarifies the administration of long-term disability benefits; amends the criteria for agreements for property finders to include signature requirements; and to clarifies the Local Government Commission authority as it relates to a request for proposal for a guaranteed energy savings contract that involves a financing agreement..</w:t>
      </w:r>
      <w:proofErr w:type="gramEnd"/>
      <w:r w:rsidRPr="000A4D91">
        <w:rPr>
          <w:sz w:val="22"/>
        </w:rPr>
        <w:t xml:space="preserve"> Except as otherwise provided, the act became effective July 1, 2022.</w:t>
      </w:r>
    </w:p>
    <w:p w:rsidR="000A4D91" w:rsidRPr="000A4D91" w:rsidRDefault="000A4D91" w:rsidP="000A4D91">
      <w:pPr>
        <w:keepNext/>
        <w:jc w:val="both"/>
        <w:rPr>
          <w:rFonts w:ascii="Times New Roman" w:hAnsi="Times New Roman" w:cs="Times New Roman"/>
        </w:rPr>
      </w:pPr>
    </w:p>
    <w:p w:rsidR="000A4D91" w:rsidRDefault="000A4D91" w:rsidP="000A4D91">
      <w:pPr>
        <w:keepNext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H1058 - Retirement &amp; Treasury Technical Corrections Act of 2022. (SL 2022-16)</w:t>
      </w:r>
    </w:p>
    <w:p w:rsidR="000A4D91" w:rsidRPr="000A4D91" w:rsidRDefault="000A4D91" w:rsidP="000A4D91">
      <w:pPr>
        <w:pStyle w:val="NormalWeb"/>
        <w:jc w:val="both"/>
        <w:divId w:val="2077968808"/>
        <w:rPr>
          <w:sz w:val="22"/>
        </w:rPr>
      </w:pPr>
      <w:r w:rsidRPr="000A4D91">
        <w:rPr>
          <w:sz w:val="22"/>
        </w:rPr>
        <w:t>S.L. 2022-16 makes technical and conforming changes to statutes pertaining to the Teachers' and State Employees' Retirement System (</w:t>
      </w:r>
      <w:proofErr w:type="spellStart"/>
      <w:r w:rsidRPr="000A4D91">
        <w:rPr>
          <w:sz w:val="22"/>
        </w:rPr>
        <w:t>TSERS</w:t>
      </w:r>
      <w:proofErr w:type="spellEnd"/>
      <w:r w:rsidRPr="000A4D91">
        <w:rPr>
          <w:sz w:val="22"/>
        </w:rPr>
        <w:t>), Local Governmental Employees' Retirement System (</w:t>
      </w:r>
      <w:proofErr w:type="spellStart"/>
      <w:r w:rsidRPr="000A4D91">
        <w:rPr>
          <w:sz w:val="22"/>
        </w:rPr>
        <w:t>LGERS</w:t>
      </w:r>
      <w:proofErr w:type="spellEnd"/>
      <w:r w:rsidRPr="000A4D91">
        <w:rPr>
          <w:sz w:val="22"/>
        </w:rPr>
        <w:t>), the Consolidated Judicial System (</w:t>
      </w:r>
      <w:proofErr w:type="spellStart"/>
      <w:r w:rsidRPr="000A4D91">
        <w:rPr>
          <w:sz w:val="22"/>
        </w:rPr>
        <w:t>CJRS</w:t>
      </w:r>
      <w:proofErr w:type="spellEnd"/>
      <w:r w:rsidRPr="000A4D91">
        <w:rPr>
          <w:sz w:val="22"/>
        </w:rPr>
        <w:t xml:space="preserve">), the Separate Insurance Benefits Plan for State and Local </w:t>
      </w:r>
      <w:r w:rsidRPr="000A4D91">
        <w:rPr>
          <w:sz w:val="22"/>
        </w:rPr>
        <w:lastRenderedPageBreak/>
        <w:t xml:space="preserve">Governmental Law Enforcement Officers, the Achieve a Better Life Experience (ABLE) Program, and the Firefighters' and Rescue Squad Workers' Pension Fund. Specific changes </w:t>
      </w:r>
      <w:proofErr w:type="gramStart"/>
      <w:r w:rsidRPr="000A4D91">
        <w:rPr>
          <w:sz w:val="22"/>
        </w:rPr>
        <w:t>are outlined</w:t>
      </w:r>
      <w:proofErr w:type="gramEnd"/>
      <w:r w:rsidRPr="000A4D91">
        <w:rPr>
          <w:sz w:val="22"/>
        </w:rPr>
        <w:t xml:space="preserve"> in the full analysis.</w:t>
      </w:r>
    </w:p>
    <w:p w:rsidR="000A4D91" w:rsidRPr="000A4D91" w:rsidRDefault="000A4D91" w:rsidP="000A4D91">
      <w:pPr>
        <w:pStyle w:val="NormalWeb"/>
        <w:jc w:val="both"/>
        <w:divId w:val="2077968808"/>
        <w:rPr>
          <w:sz w:val="22"/>
        </w:rPr>
      </w:pPr>
      <w:r w:rsidRPr="000A4D91">
        <w:rPr>
          <w:sz w:val="22"/>
        </w:rPr>
        <w:t xml:space="preserve">The act became effective July 1, 2022. </w:t>
      </w:r>
      <w:bookmarkStart w:id="0" w:name="_GoBack"/>
      <w:bookmarkEnd w:id="0"/>
    </w:p>
    <w:sectPr w:rsidR="000A4D91" w:rsidRPr="000A4D91" w:rsidSect="000A4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91" w:rsidRDefault="000A4D91" w:rsidP="000A4D91">
      <w:pPr>
        <w:spacing w:after="0" w:line="240" w:lineRule="auto"/>
      </w:pPr>
      <w:r>
        <w:separator/>
      </w:r>
    </w:p>
  </w:endnote>
  <w:endnote w:type="continuationSeparator" w:id="0">
    <w:p w:rsidR="000A4D91" w:rsidRDefault="000A4D91" w:rsidP="000A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Default="000A4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Pr="000A4D91" w:rsidRDefault="000A4D91" w:rsidP="000A4D91">
    <w:pPr>
      <w:pStyle w:val="Footer"/>
      <w:tabs>
        <w:tab w:val="center" w:pos="4680"/>
        <w:tab w:val="right" w:pos="93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[2022] Retirement</w:t>
    </w:r>
    <w:r>
      <w:rPr>
        <w:rFonts w:ascii="Times New Roman" w:hAnsi="Times New Roman" w:cs="Times New Roman"/>
      </w:rPr>
      <w:tab/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  <w:t>1/24/2023 1:25 p.m.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Default="000A4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91" w:rsidRDefault="000A4D91" w:rsidP="000A4D91">
      <w:pPr>
        <w:spacing w:after="0" w:line="240" w:lineRule="auto"/>
      </w:pPr>
      <w:r>
        <w:separator/>
      </w:r>
    </w:p>
  </w:footnote>
  <w:footnote w:type="continuationSeparator" w:id="0">
    <w:p w:rsidR="000A4D91" w:rsidRDefault="000A4D91" w:rsidP="000A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Default="000A4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Default="000A4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91" w:rsidRDefault="000A4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91"/>
    <w:rsid w:val="000A4D91"/>
    <w:rsid w:val="00A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C6DA"/>
  <w15:chartTrackingRefBased/>
  <w15:docId w15:val="{0F91C6E0-7946-473C-93ED-998245F7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4D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D91"/>
  </w:style>
  <w:style w:type="paragraph" w:styleId="Footer">
    <w:name w:val="footer"/>
    <w:basedOn w:val="Normal"/>
    <w:link w:val="FooterChar"/>
    <w:uiPriority w:val="99"/>
    <w:unhideWhenUsed/>
    <w:rsid w:val="000A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>NCGA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admindoc</dc:creator>
  <cp:keywords/>
  <dc:description/>
  <cp:lastModifiedBy>admindoc</cp:lastModifiedBy>
  <cp:revision>1</cp:revision>
  <dcterms:created xsi:type="dcterms:W3CDTF">2023-01-24T18:25:00Z</dcterms:created>
  <dcterms:modified xsi:type="dcterms:W3CDTF">2023-01-24T18:25:00Z</dcterms:modified>
</cp:coreProperties>
</file>